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7B15A1" w14:textId="39877375"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293847">
        <w:rPr>
          <w:rFonts w:ascii="Arial" w:hAnsi="Arial" w:cs="Arial"/>
          <w:b/>
          <w:bCs/>
          <w:sz w:val="28"/>
          <w:lang w:eastAsia="ko-KR"/>
        </w:rPr>
        <w:t>10</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620783" w:rsidRPr="00620783">
        <w:rPr>
          <w:rFonts w:ascii="Arial" w:hAnsi="Arial" w:cs="Arial"/>
          <w:b/>
          <w:bCs/>
          <w:sz w:val="28"/>
        </w:rPr>
        <w:t>RP-253481</w:t>
      </w:r>
    </w:p>
    <w:p w14:paraId="6D3AA9FD" w14:textId="62CA3D95" w:rsidR="00E53809" w:rsidRPr="00393FFE" w:rsidRDefault="00293847" w:rsidP="001726B2">
      <w:pPr>
        <w:tabs>
          <w:tab w:val="center" w:pos="4536"/>
          <w:tab w:val="right" w:pos="9072"/>
        </w:tabs>
        <w:spacing w:after="0"/>
        <w:rPr>
          <w:rFonts w:ascii="Arial" w:eastAsiaTheme="minorEastAsia" w:hAnsi="Arial" w:cs="Arial"/>
          <w:b/>
          <w:bCs/>
          <w:sz w:val="28"/>
          <w:lang w:eastAsia="ko-KR"/>
        </w:rPr>
      </w:pPr>
      <w:r>
        <w:rPr>
          <w:rFonts w:ascii="Arial" w:eastAsiaTheme="minorEastAsia" w:hAnsi="Arial" w:cs="Arial"/>
          <w:b/>
          <w:bCs/>
          <w:sz w:val="28"/>
          <w:lang w:eastAsia="ko-KR"/>
        </w:rPr>
        <w:t>Baltimore</w:t>
      </w:r>
      <w:r w:rsidR="00C51CF0" w:rsidRPr="00C51CF0">
        <w:rPr>
          <w:rFonts w:ascii="Arial" w:eastAsiaTheme="minorEastAsia" w:hAnsi="Arial" w:cs="Arial"/>
          <w:b/>
          <w:bCs/>
          <w:sz w:val="28"/>
          <w:lang w:eastAsia="ko-KR"/>
        </w:rPr>
        <w:t xml:space="preserve">, </w:t>
      </w:r>
      <w:r>
        <w:rPr>
          <w:rFonts w:ascii="Arial" w:eastAsiaTheme="minorEastAsia" w:hAnsi="Arial" w:cs="Arial"/>
          <w:b/>
          <w:bCs/>
          <w:sz w:val="28"/>
          <w:lang w:eastAsia="ko-KR"/>
        </w:rPr>
        <w:t>USA</w:t>
      </w:r>
      <w:r w:rsidR="00C51CF0" w:rsidRPr="00C51CF0">
        <w:rPr>
          <w:rFonts w:ascii="Arial" w:eastAsiaTheme="minorEastAsia" w:hAnsi="Arial" w:cs="Arial"/>
          <w:b/>
          <w:bCs/>
          <w:sz w:val="28"/>
          <w:lang w:eastAsia="ko-KR"/>
        </w:rPr>
        <w:t xml:space="preserve">, </w:t>
      </w:r>
      <w:r>
        <w:rPr>
          <w:rFonts w:ascii="Arial" w:eastAsiaTheme="minorEastAsia" w:hAnsi="Arial" w:cs="Arial"/>
          <w:b/>
          <w:bCs/>
          <w:sz w:val="28"/>
          <w:lang w:eastAsia="ko-KR"/>
        </w:rPr>
        <w:t>Dec</w:t>
      </w:r>
      <w:r w:rsidR="00BB7C01">
        <w:rPr>
          <w:rFonts w:ascii="Arial" w:eastAsiaTheme="minorEastAsia" w:hAnsi="Arial" w:cs="Arial" w:hint="eastAsia"/>
          <w:b/>
          <w:bCs/>
          <w:sz w:val="28"/>
          <w:lang w:eastAsia="ko-KR"/>
        </w:rPr>
        <w:t>.</w:t>
      </w:r>
      <w:r w:rsidR="00C51CF0" w:rsidRPr="00C51CF0">
        <w:rPr>
          <w:rFonts w:ascii="Arial" w:eastAsiaTheme="minorEastAsia" w:hAnsi="Arial" w:cs="Arial"/>
          <w:b/>
          <w:bCs/>
          <w:sz w:val="28"/>
          <w:lang w:eastAsia="ko-KR"/>
        </w:rPr>
        <w:t xml:space="preserve"> </w:t>
      </w:r>
      <w:r>
        <w:rPr>
          <w:rFonts w:ascii="Arial" w:eastAsiaTheme="minorEastAsia" w:hAnsi="Arial" w:cs="Arial"/>
          <w:b/>
          <w:bCs/>
          <w:sz w:val="28"/>
          <w:lang w:eastAsia="ko-KR"/>
        </w:rPr>
        <w:t>8</w:t>
      </w:r>
      <w:r w:rsidR="00BB7C01">
        <w:rPr>
          <w:rFonts w:ascii="Arial" w:eastAsiaTheme="minorEastAsia" w:hAnsi="Arial" w:cs="Arial" w:hint="eastAsia"/>
          <w:b/>
          <w:bCs/>
          <w:sz w:val="28"/>
          <w:lang w:eastAsia="ko-KR"/>
        </w:rPr>
        <w:t>-1</w:t>
      </w:r>
      <w:r>
        <w:rPr>
          <w:rFonts w:ascii="Arial" w:eastAsiaTheme="minorEastAsia" w:hAnsi="Arial" w:cs="Arial"/>
          <w:b/>
          <w:bCs/>
          <w:sz w:val="28"/>
          <w:lang w:eastAsia="ko-KR"/>
        </w:rPr>
        <w:t>1</w:t>
      </w:r>
      <w:r w:rsidR="00C51CF0" w:rsidRPr="00C51CF0">
        <w:rPr>
          <w:rFonts w:ascii="Arial" w:eastAsiaTheme="minorEastAsia" w:hAnsi="Arial" w:cs="Arial"/>
          <w:b/>
          <w:bCs/>
          <w:sz w:val="28"/>
          <w:lang w:eastAsia="ko-KR"/>
        </w:rPr>
        <w:t>, 2025</w:t>
      </w:r>
    </w:p>
    <w:bookmarkEnd w:id="0"/>
    <w:p w14:paraId="1F350865" w14:textId="77777777" w:rsidR="00197EC1" w:rsidRPr="00E53809" w:rsidRDefault="00197EC1" w:rsidP="00197EC1">
      <w:pPr>
        <w:pStyle w:val="a9"/>
        <w:rPr>
          <w:lang w:val="en-GB"/>
        </w:rPr>
      </w:pPr>
    </w:p>
    <w:p w14:paraId="508FC223" w14:textId="0EF08E1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BB7C01">
        <w:rPr>
          <w:rFonts w:ascii="Arial" w:hAnsi="Arial" w:hint="eastAsia"/>
          <w:sz w:val="24"/>
          <w:lang w:val="en-US" w:eastAsia="ko-KR"/>
        </w:rPr>
        <w:t>8</w:t>
      </w:r>
      <w:r w:rsidR="00071AA2">
        <w:rPr>
          <w:rFonts w:ascii="Arial" w:hAnsi="Arial"/>
          <w:sz w:val="24"/>
          <w:lang w:val="en-US"/>
        </w:rPr>
        <w:t>.</w:t>
      </w:r>
      <w:r w:rsidR="00BB7C01">
        <w:rPr>
          <w:rFonts w:ascii="Arial" w:hAnsi="Arial" w:hint="eastAsia"/>
          <w:sz w:val="24"/>
          <w:lang w:val="en-US" w:eastAsia="ko-KR"/>
        </w:rPr>
        <w:t>2</w:t>
      </w:r>
      <w:r w:rsidR="00071AA2">
        <w:rPr>
          <w:rFonts w:ascii="Arial" w:hAnsi="Arial"/>
          <w:sz w:val="24"/>
          <w:lang w:val="en-US"/>
        </w:rPr>
        <w:t>.</w:t>
      </w:r>
      <w:r w:rsidR="008E2C84">
        <w:rPr>
          <w:rFonts w:ascii="Arial" w:hAnsi="Arial" w:hint="eastAsia"/>
          <w:sz w:val="24"/>
          <w:lang w:val="en-US" w:eastAsia="ko-KR"/>
        </w:rPr>
        <w:t>1.</w:t>
      </w:r>
      <w:r w:rsidR="002C4B2D">
        <w:rPr>
          <w:rFonts w:ascii="Arial" w:hAnsi="Arial"/>
          <w:sz w:val="24"/>
          <w:lang w:val="en-US" w:eastAsia="ko-KR"/>
        </w:rPr>
        <w:t>4</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F35F88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C665B1">
        <w:rPr>
          <w:rFonts w:ascii="Arial" w:hAnsi="Arial"/>
          <w:sz w:val="24"/>
        </w:rPr>
        <w:t xml:space="preserve">Considerations for Aerial UEs and NTN </w:t>
      </w:r>
      <w:r w:rsidR="00AA7F1D">
        <w:rPr>
          <w:rFonts w:ascii="Arial" w:hAnsi="Arial"/>
          <w:sz w:val="24"/>
        </w:rPr>
        <w:t>for 3D mobility</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6EF6B40" w14:textId="0EE17430" w:rsidR="00125662" w:rsidRDefault="00125662" w:rsidP="00125662">
      <w:pPr>
        <w:rPr>
          <w:b/>
          <w:lang w:eastAsia="ko-KR"/>
        </w:rPr>
      </w:pPr>
      <w:r w:rsidRPr="009554E8">
        <w:rPr>
          <w:rFonts w:ascii="Calibri" w:hAnsi="Calibri" w:cs="Calibri"/>
          <w:bCs/>
          <w:szCs w:val="22"/>
          <w:lang w:eastAsia="ko-KR"/>
        </w:rPr>
        <w:t>In this contribution, we discuss</w:t>
      </w:r>
      <w:r w:rsidRPr="009554E8">
        <w:rPr>
          <w:rFonts w:ascii="Calibri" w:hAnsi="Calibri" w:cs="Calibri" w:hint="eastAsia"/>
          <w:bCs/>
          <w:szCs w:val="22"/>
          <w:lang w:eastAsia="ko-KR"/>
        </w:rPr>
        <w:t xml:space="preserve"> </w:t>
      </w:r>
      <w:r>
        <w:rPr>
          <w:rFonts w:ascii="Calibri" w:hAnsi="Calibri" w:cs="Calibri"/>
          <w:bCs/>
          <w:szCs w:val="22"/>
          <w:lang w:eastAsia="ko-KR"/>
        </w:rPr>
        <w:t xml:space="preserve">considerations for 3D mobility, including UAV/UAM/ATG/NTN. </w:t>
      </w:r>
    </w:p>
    <w:p w14:paraId="13F0CF19" w14:textId="77777777" w:rsidR="00213D0B" w:rsidRPr="00125662" w:rsidRDefault="00213D0B" w:rsidP="000A67CA">
      <w:pPr>
        <w:rPr>
          <w:lang w:eastAsia="ko-KR"/>
        </w:rPr>
      </w:pPr>
    </w:p>
    <w:p w14:paraId="2A18F3F2" w14:textId="0017C6D4" w:rsidR="00124837" w:rsidRDefault="0036441B" w:rsidP="00124837">
      <w:pPr>
        <w:pStyle w:val="1"/>
      </w:pPr>
      <w:bookmarkStart w:id="4" w:name="_Hlk193717573"/>
      <w:r>
        <w:rPr>
          <w:rFonts w:hint="eastAsia"/>
        </w:rPr>
        <w:t>Discussion</w:t>
      </w:r>
    </w:p>
    <w:bookmarkEnd w:id="4"/>
    <w:p w14:paraId="3C546F63" w14:textId="29B24B59" w:rsidR="00FB19EC" w:rsidRDefault="00FB19EC" w:rsidP="00892883">
      <w:pPr>
        <w:rPr>
          <w:rFonts w:ascii="Calibri" w:hAnsi="Calibri" w:cs="Calibri"/>
          <w:b/>
          <w:bCs/>
          <w:i/>
          <w:szCs w:val="22"/>
          <w:lang w:eastAsia="ko-KR"/>
        </w:rPr>
      </w:pPr>
    </w:p>
    <w:p w14:paraId="2704DFD6" w14:textId="335C3DDE" w:rsidR="000916B5" w:rsidRPr="00880C0F" w:rsidRDefault="000916B5" w:rsidP="000916B5">
      <w:pPr>
        <w:pStyle w:val="2"/>
        <w:numPr>
          <w:ilvl w:val="0"/>
          <w:numId w:val="0"/>
        </w:numPr>
      </w:pPr>
      <w:r>
        <w:t>2.</w:t>
      </w:r>
      <w:r w:rsidR="00BE3A17">
        <w:t>1</w:t>
      </w:r>
      <w:r>
        <w:tab/>
      </w:r>
      <w:r w:rsidR="002C4B2D">
        <w:t xml:space="preserve">Aerial UE support for </w:t>
      </w:r>
      <w:r>
        <w:t>3D mobility (UAV/UAM</w:t>
      </w:r>
      <w:r w:rsidR="002C4B2D">
        <w:t>/ATG</w:t>
      </w:r>
      <w:r>
        <w:t>)</w:t>
      </w:r>
    </w:p>
    <w:p w14:paraId="3F110BA2" w14:textId="77777777" w:rsidR="00C70953" w:rsidRDefault="004D79BC" w:rsidP="00C70953">
      <w:pPr>
        <w:rPr>
          <w:rFonts w:ascii="Calibri" w:hAnsi="Calibri" w:cs="Calibri"/>
          <w:iCs/>
          <w:szCs w:val="22"/>
          <w:lang w:eastAsia="ko-KR"/>
        </w:rPr>
      </w:pPr>
      <w:r w:rsidRPr="004D79BC">
        <w:rPr>
          <w:rFonts w:ascii="Calibri" w:hAnsi="Calibri" w:cs="Calibri"/>
          <w:iCs/>
          <w:szCs w:val="22"/>
          <w:lang w:val="en-US" w:eastAsia="ko-KR"/>
        </w:rPr>
        <w:t>The low-altitude economy enabled by unmanned aerial vehicles (UAVs) is on the verge of exponential growth. For example, UAV-based delivery services have already been commercialized in several provinces and cities in China. In addition, urban air mobility (UAM) pilot services are being prepared in multiple countries, including Korea and China.</w:t>
      </w:r>
      <w:r>
        <w:rPr>
          <w:rFonts w:ascii="Calibri" w:hAnsi="Calibri" w:cs="Calibri"/>
          <w:iCs/>
          <w:szCs w:val="22"/>
          <w:lang w:val="en-US" w:eastAsia="ko-KR"/>
        </w:rPr>
        <w:t xml:space="preserve"> </w:t>
      </w:r>
      <w:r w:rsidR="00C70953" w:rsidRPr="00FB19EC">
        <w:rPr>
          <w:rFonts w:ascii="Calibri" w:hAnsi="Calibri" w:cs="Calibri"/>
          <w:iCs/>
          <w:szCs w:val="22"/>
          <w:lang w:eastAsia="ko-KR"/>
        </w:rPr>
        <w:t xml:space="preserve">In NR, several features </w:t>
      </w:r>
      <w:r w:rsidR="00C70953">
        <w:rPr>
          <w:rFonts w:ascii="Calibri" w:hAnsi="Calibri" w:cs="Calibri"/>
          <w:iCs/>
          <w:szCs w:val="22"/>
          <w:lang w:eastAsia="ko-KR"/>
        </w:rPr>
        <w:t>were introduced In Rel-17 and Rel-19 to support UAV, which includes (but not limited to):</w:t>
      </w:r>
    </w:p>
    <w:p w14:paraId="0BF80B77" w14:textId="77777777" w:rsid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hint="eastAsia"/>
          <w:iCs/>
          <w:szCs w:val="22"/>
          <w:lang w:eastAsia="ko-KR"/>
        </w:rPr>
        <w:t>A</w:t>
      </w:r>
      <w:r>
        <w:rPr>
          <w:rFonts w:ascii="Calibri" w:hAnsi="Calibri" w:cs="Calibri"/>
          <w:iCs/>
          <w:szCs w:val="22"/>
          <w:lang w:eastAsia="ko-KR"/>
        </w:rPr>
        <w:t>ltitude-based measurement beam set switching in RRC_IDLE/RRC_CONNECTED</w:t>
      </w:r>
    </w:p>
    <w:p w14:paraId="45DC7DE4" w14:textId="77777777" w:rsid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iCs/>
          <w:szCs w:val="22"/>
          <w:lang w:eastAsia="ko-KR"/>
        </w:rPr>
        <w:t>Altitude-based measurement report triggering</w:t>
      </w:r>
    </w:p>
    <w:p w14:paraId="36D66D5E" w14:textId="77777777" w:rsid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hint="eastAsia"/>
          <w:iCs/>
          <w:szCs w:val="22"/>
          <w:lang w:eastAsia="ko-KR"/>
        </w:rPr>
        <w:t>M</w:t>
      </w:r>
      <w:r>
        <w:rPr>
          <w:rFonts w:ascii="Calibri" w:hAnsi="Calibri" w:cs="Calibri"/>
          <w:iCs/>
          <w:szCs w:val="22"/>
          <w:lang w:eastAsia="ko-KR"/>
        </w:rPr>
        <w:t xml:space="preserve">easurement report triggering reduction based on the number of triggered cells </w:t>
      </w:r>
    </w:p>
    <w:p w14:paraId="656504E0" w14:textId="77777777" w:rsidR="004E392A" w:rsidRDefault="00C70953" w:rsidP="00FA61B7">
      <w:pPr>
        <w:pStyle w:val="ac"/>
        <w:numPr>
          <w:ilvl w:val="0"/>
          <w:numId w:val="27"/>
        </w:numPr>
        <w:ind w:leftChars="0"/>
        <w:rPr>
          <w:rFonts w:ascii="Calibri" w:hAnsi="Calibri" w:cs="Calibri"/>
          <w:iCs/>
          <w:szCs w:val="22"/>
          <w:lang w:eastAsia="ko-KR"/>
        </w:rPr>
      </w:pPr>
      <w:r w:rsidRPr="004E392A">
        <w:rPr>
          <w:rFonts w:ascii="Calibri" w:hAnsi="Calibri" w:cs="Calibri" w:hint="eastAsia"/>
          <w:iCs/>
          <w:szCs w:val="22"/>
          <w:lang w:eastAsia="ko-KR"/>
        </w:rPr>
        <w:t>A</w:t>
      </w:r>
      <w:r w:rsidRPr="004E392A">
        <w:rPr>
          <w:rFonts w:ascii="Calibri" w:hAnsi="Calibri" w:cs="Calibri"/>
          <w:iCs/>
          <w:szCs w:val="22"/>
          <w:lang w:eastAsia="ko-KR"/>
        </w:rPr>
        <w:t>ltitude-based CHO execution</w:t>
      </w:r>
    </w:p>
    <w:p w14:paraId="0BC1AB07" w14:textId="77777777" w:rsidR="004E392A" w:rsidRDefault="00C70953" w:rsidP="00FA61B7">
      <w:pPr>
        <w:pStyle w:val="ac"/>
        <w:numPr>
          <w:ilvl w:val="0"/>
          <w:numId w:val="27"/>
        </w:numPr>
        <w:ind w:leftChars="0"/>
        <w:rPr>
          <w:rFonts w:ascii="Calibri" w:hAnsi="Calibri" w:cs="Calibri"/>
          <w:iCs/>
          <w:szCs w:val="22"/>
          <w:lang w:eastAsia="ko-KR"/>
        </w:rPr>
      </w:pPr>
      <w:r w:rsidRPr="004E392A">
        <w:rPr>
          <w:rFonts w:ascii="Calibri" w:hAnsi="Calibri" w:cs="Calibri" w:hint="eastAsia"/>
          <w:iCs/>
          <w:szCs w:val="22"/>
          <w:lang w:eastAsia="ko-KR"/>
        </w:rPr>
        <w:t>A</w:t>
      </w:r>
      <w:r w:rsidRPr="004E392A">
        <w:rPr>
          <w:rFonts w:ascii="Calibri" w:hAnsi="Calibri" w:cs="Calibri"/>
          <w:iCs/>
          <w:szCs w:val="22"/>
          <w:lang w:eastAsia="ko-KR"/>
        </w:rPr>
        <w:t>ltitude-based frequency priority switching for cell reselection</w:t>
      </w:r>
    </w:p>
    <w:p w14:paraId="25B68327" w14:textId="378846F4" w:rsidR="00C70953" w:rsidRPr="004E392A" w:rsidRDefault="004D79BC" w:rsidP="004E392A">
      <w:pPr>
        <w:rPr>
          <w:rFonts w:ascii="Calibri" w:hAnsi="Calibri" w:cs="Calibri"/>
          <w:iCs/>
          <w:szCs w:val="22"/>
          <w:lang w:eastAsia="ko-KR"/>
        </w:rPr>
      </w:pPr>
      <w:r w:rsidRPr="004E392A">
        <w:rPr>
          <w:rFonts w:ascii="Calibri" w:hAnsi="Calibri" w:cs="Calibri"/>
          <w:iCs/>
          <w:szCs w:val="22"/>
          <w:lang w:val="en-US" w:eastAsia="ko-KR"/>
        </w:rPr>
        <w:t>Supporting air-to-ground (ATG) user equipment (UEs) in 3GPP networks would significantly enhance the quality of experience for passengers on board aircraft, provided that ATG UEs can be connected to ground gNBs</w:t>
      </w:r>
      <w:r w:rsidR="00DE3748">
        <w:rPr>
          <w:rFonts w:ascii="Calibri" w:hAnsi="Calibri" w:cs="Calibri"/>
          <w:iCs/>
          <w:szCs w:val="22"/>
          <w:lang w:val="en-US" w:eastAsia="ko-KR"/>
        </w:rPr>
        <w:t xml:space="preserve"> with a good quality</w:t>
      </w:r>
      <w:r w:rsidRPr="004E392A">
        <w:rPr>
          <w:rFonts w:ascii="Calibri" w:hAnsi="Calibri" w:cs="Calibri"/>
          <w:iCs/>
          <w:szCs w:val="22"/>
          <w:lang w:val="en-US" w:eastAsia="ko-KR"/>
        </w:rPr>
        <w:t xml:space="preserve">. </w:t>
      </w:r>
      <w:r w:rsidR="00C70953" w:rsidRPr="004E392A">
        <w:rPr>
          <w:rFonts w:ascii="Calibri" w:hAnsi="Calibri" w:cs="Calibri"/>
          <w:iCs/>
          <w:szCs w:val="22"/>
          <w:lang w:eastAsia="ko-KR"/>
        </w:rPr>
        <w:t>NR supports features related to Air-To-Ground UEs, which includes (but not limited to):</w:t>
      </w:r>
    </w:p>
    <w:p w14:paraId="65D2402A" w14:textId="77777777" w:rsid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iCs/>
          <w:szCs w:val="22"/>
          <w:lang w:eastAsia="ko-KR"/>
        </w:rPr>
        <w:t>RF and RRM requirements for ATG UEs</w:t>
      </w:r>
    </w:p>
    <w:p w14:paraId="4DF472A9" w14:textId="77777777" w:rsid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iCs/>
          <w:szCs w:val="22"/>
          <w:lang w:eastAsia="ko-KR"/>
        </w:rPr>
        <w:t>Handling of timing and synchronization (similar to NTN)</w:t>
      </w:r>
    </w:p>
    <w:p w14:paraId="2E5FA12A" w14:textId="508EDFEB" w:rsidR="00C70953" w:rsidRPr="00C70953" w:rsidRDefault="00C70953" w:rsidP="00C70953">
      <w:pPr>
        <w:pStyle w:val="ac"/>
        <w:numPr>
          <w:ilvl w:val="0"/>
          <w:numId w:val="27"/>
        </w:numPr>
        <w:ind w:leftChars="0"/>
        <w:rPr>
          <w:rFonts w:ascii="Calibri" w:hAnsi="Calibri" w:cs="Calibri"/>
          <w:iCs/>
          <w:szCs w:val="22"/>
          <w:lang w:eastAsia="ko-KR"/>
        </w:rPr>
      </w:pPr>
      <w:r>
        <w:rPr>
          <w:rFonts w:ascii="Calibri" w:hAnsi="Calibri" w:cs="Calibri" w:hint="eastAsia"/>
          <w:iCs/>
          <w:szCs w:val="22"/>
          <w:lang w:eastAsia="ko-KR"/>
        </w:rPr>
        <w:t>A</w:t>
      </w:r>
      <w:r>
        <w:rPr>
          <w:rFonts w:ascii="Calibri" w:hAnsi="Calibri" w:cs="Calibri"/>
          <w:iCs/>
          <w:szCs w:val="22"/>
          <w:lang w:eastAsia="ko-KR"/>
        </w:rPr>
        <w:t>TG-specific system information to provide reference location of gNBs (similar to NTN)</w:t>
      </w:r>
    </w:p>
    <w:p w14:paraId="652E6D3D" w14:textId="7055CBFB" w:rsidR="004D79BC" w:rsidRDefault="004D79BC" w:rsidP="00C70953">
      <w:pPr>
        <w:rPr>
          <w:rFonts w:ascii="Calibri" w:hAnsi="Calibri" w:cs="Calibri"/>
          <w:iCs/>
          <w:szCs w:val="22"/>
          <w:lang w:val="en-US" w:eastAsia="ko-KR"/>
        </w:rPr>
      </w:pPr>
      <w:r w:rsidRPr="004D79BC">
        <w:rPr>
          <w:rFonts w:ascii="Calibri" w:hAnsi="Calibri" w:cs="Calibri"/>
          <w:iCs/>
          <w:szCs w:val="22"/>
          <w:lang w:val="en-US" w:eastAsia="ko-KR"/>
        </w:rPr>
        <w:t>These developments clearly indicate substantial monetization opportunities for mobile network operators</w:t>
      </w:r>
      <w:r w:rsidR="00C70953">
        <w:rPr>
          <w:rFonts w:ascii="Calibri" w:hAnsi="Calibri" w:cs="Calibri"/>
          <w:iCs/>
          <w:szCs w:val="22"/>
          <w:lang w:val="en-US" w:eastAsia="ko-KR"/>
        </w:rPr>
        <w:t xml:space="preserve"> with the support of aerial UEs</w:t>
      </w:r>
      <w:r w:rsidRPr="004D79BC">
        <w:rPr>
          <w:rFonts w:ascii="Calibri" w:hAnsi="Calibri" w:cs="Calibri"/>
          <w:iCs/>
          <w:szCs w:val="22"/>
          <w:lang w:val="en-US" w:eastAsia="ko-KR"/>
        </w:rPr>
        <w:t>.</w:t>
      </w:r>
      <w:r>
        <w:rPr>
          <w:rFonts w:ascii="Calibri" w:hAnsi="Calibri" w:cs="Calibri"/>
          <w:iCs/>
          <w:szCs w:val="22"/>
          <w:lang w:val="en-US" w:eastAsia="ko-KR"/>
        </w:rPr>
        <w:t xml:space="preserve"> </w:t>
      </w:r>
      <w:r w:rsidRPr="004D79BC">
        <w:rPr>
          <w:rFonts w:ascii="Calibri" w:hAnsi="Calibri" w:cs="Calibri"/>
          <w:iCs/>
          <w:szCs w:val="22"/>
          <w:lang w:val="en-US" w:eastAsia="ko-KR"/>
        </w:rPr>
        <w:t xml:space="preserve">Given that aerial UEs are already supported in 5G, it is essential that 6G continues to meet their requirements. </w:t>
      </w:r>
    </w:p>
    <w:p w14:paraId="75753D77" w14:textId="2755BF4F" w:rsidR="004D79BC" w:rsidRPr="004D79BC" w:rsidRDefault="004D79BC" w:rsidP="00C46012">
      <w:pPr>
        <w:rPr>
          <w:rFonts w:ascii="Calibri" w:hAnsi="Calibri" w:cs="Calibri"/>
          <w:iCs/>
          <w:szCs w:val="22"/>
          <w:lang w:val="en-US" w:eastAsia="ko-KR"/>
        </w:rPr>
      </w:pPr>
      <w:r w:rsidRPr="004D79BC">
        <w:rPr>
          <w:rFonts w:ascii="Calibri" w:hAnsi="Calibri" w:cs="Calibri"/>
          <w:iCs/>
          <w:szCs w:val="22"/>
          <w:lang w:val="en-US" w:eastAsia="ko-KR"/>
        </w:rPr>
        <w:t>To enable 3GPP mobile network operators to fully capitalize on monetization opportunities associated with aerial UEs, support for such UEs should be available no later than Day 1 of 6G deployment. The features already specified in NR for aerial UEs should serve as the baseline for features supported on 6G Day 1. Furthermore, a 6G RAN (6GR) study is recommended to review these features and investigate potential enhancements to support advanced services with more stringent performance requirements</w:t>
      </w:r>
      <w:r>
        <w:rPr>
          <w:rFonts w:ascii="Calibri" w:hAnsi="Calibri" w:cs="Calibri"/>
          <w:iCs/>
          <w:szCs w:val="22"/>
          <w:lang w:val="en-US" w:eastAsia="ko-KR"/>
        </w:rPr>
        <w:t xml:space="preserve"> for aerial UEs</w:t>
      </w:r>
      <w:r w:rsidRPr="004D79BC">
        <w:rPr>
          <w:rFonts w:ascii="Calibri" w:hAnsi="Calibri" w:cs="Calibri"/>
          <w:iCs/>
          <w:szCs w:val="22"/>
          <w:lang w:val="en-US" w:eastAsia="ko-KR"/>
        </w:rPr>
        <w:t>.</w:t>
      </w:r>
    </w:p>
    <w:p w14:paraId="49F75701" w14:textId="77777777" w:rsidR="004D79BC" w:rsidRDefault="004D79BC" w:rsidP="00C46012">
      <w:pPr>
        <w:rPr>
          <w:rFonts w:ascii="Calibri" w:hAnsi="Calibri" w:cs="Calibri"/>
          <w:iCs/>
          <w:szCs w:val="22"/>
          <w:lang w:eastAsia="ko-KR"/>
        </w:rPr>
      </w:pPr>
    </w:p>
    <w:p w14:paraId="17023B0F" w14:textId="77777777" w:rsidR="00BE3A17" w:rsidRPr="00BE3A17" w:rsidRDefault="00BE3A17" w:rsidP="00BE3A17">
      <w:pPr>
        <w:rPr>
          <w:rFonts w:ascii="Calibri" w:hAnsi="Calibri" w:cs="Calibri"/>
          <w:b/>
          <w:bCs/>
          <w:i/>
          <w:szCs w:val="22"/>
          <w:lang w:eastAsia="ko-KR"/>
        </w:rPr>
      </w:pPr>
      <w:r w:rsidRPr="00BE3A17">
        <w:rPr>
          <w:rFonts w:ascii="Calibri" w:hAnsi="Calibri" w:cs="Calibri" w:hint="eastAsia"/>
          <w:b/>
          <w:bCs/>
          <w:i/>
          <w:szCs w:val="22"/>
          <w:lang w:eastAsia="ko-KR"/>
        </w:rPr>
        <w:t>P</w:t>
      </w:r>
      <w:r w:rsidRPr="00BE3A17">
        <w:rPr>
          <w:rFonts w:ascii="Calibri" w:hAnsi="Calibri" w:cs="Calibri"/>
          <w:b/>
          <w:bCs/>
          <w:i/>
          <w:szCs w:val="22"/>
          <w:lang w:eastAsia="ko-KR"/>
        </w:rPr>
        <w:t xml:space="preserve">roposal 1: 6G supports features related to aerial UEs, including UAV, UAM, ATG use cases from Day-1. </w:t>
      </w:r>
    </w:p>
    <w:p w14:paraId="4BA05EDA" w14:textId="450A7D4B" w:rsidR="00BE3A17" w:rsidRDefault="00BE3A17" w:rsidP="00BE3A17">
      <w:pPr>
        <w:rPr>
          <w:rFonts w:ascii="Calibri" w:hAnsi="Calibri" w:cs="Calibri"/>
          <w:b/>
          <w:bCs/>
          <w:i/>
          <w:szCs w:val="22"/>
          <w:lang w:eastAsia="ko-KR"/>
        </w:rPr>
      </w:pPr>
      <w:r w:rsidRPr="00BE3A17">
        <w:rPr>
          <w:rFonts w:ascii="Calibri" w:hAnsi="Calibri" w:cs="Calibri"/>
          <w:b/>
          <w:bCs/>
          <w:i/>
          <w:szCs w:val="22"/>
          <w:lang w:eastAsia="ko-KR"/>
        </w:rPr>
        <w:t xml:space="preserve">Proposal 2: The features introduced for UAV and ATG in </w:t>
      </w:r>
      <w:r w:rsidR="009C2BEC" w:rsidRPr="00BE3A17">
        <w:rPr>
          <w:rFonts w:ascii="Calibri" w:hAnsi="Calibri" w:cs="Calibri"/>
          <w:b/>
          <w:bCs/>
          <w:i/>
          <w:szCs w:val="22"/>
          <w:lang w:eastAsia="ko-KR"/>
        </w:rPr>
        <w:t>NR are</w:t>
      </w:r>
      <w:r w:rsidRPr="00BE3A17">
        <w:rPr>
          <w:rFonts w:ascii="Calibri" w:hAnsi="Calibri" w:cs="Calibri"/>
          <w:b/>
          <w:bCs/>
          <w:i/>
          <w:szCs w:val="22"/>
          <w:lang w:eastAsia="ko-KR"/>
        </w:rPr>
        <w:t xml:space="preserve"> considered as baseline for 6G support of aerial UEs. </w:t>
      </w:r>
    </w:p>
    <w:p w14:paraId="7F77792D" w14:textId="77777777" w:rsidR="002516DF" w:rsidRDefault="002516DF" w:rsidP="002516DF">
      <w:pPr>
        <w:rPr>
          <w:rFonts w:ascii="Calibri" w:hAnsi="Calibri" w:cs="Calibri"/>
          <w:b/>
          <w:bCs/>
          <w:i/>
          <w:szCs w:val="22"/>
          <w:lang w:eastAsia="ko-KR"/>
        </w:rPr>
      </w:pPr>
    </w:p>
    <w:p w14:paraId="2570A1DE" w14:textId="77777777" w:rsidR="002516DF" w:rsidRPr="00880C0F" w:rsidRDefault="002516DF" w:rsidP="002516DF">
      <w:pPr>
        <w:pStyle w:val="2"/>
        <w:numPr>
          <w:ilvl w:val="0"/>
          <w:numId w:val="0"/>
        </w:numPr>
      </w:pPr>
      <w:r>
        <w:rPr>
          <w:rFonts w:hint="eastAsia"/>
        </w:rPr>
        <w:t>2.2</w:t>
      </w:r>
      <w:r>
        <w:tab/>
      </w:r>
      <w:r>
        <w:rPr>
          <w:rFonts w:hint="eastAsia"/>
        </w:rPr>
        <w:t>GNSS-</w:t>
      </w:r>
      <w:r>
        <w:t>independent</w:t>
      </w:r>
      <w:r>
        <w:rPr>
          <w:rFonts w:hint="eastAsia"/>
        </w:rPr>
        <w:t xml:space="preserve"> and </w:t>
      </w:r>
      <w:r>
        <w:t>multi-connectivity</w:t>
      </w:r>
      <w:r>
        <w:rPr>
          <w:rFonts w:hint="eastAsia"/>
        </w:rPr>
        <w:t xml:space="preserve"> operation for NTN</w:t>
      </w:r>
    </w:p>
    <w:p w14:paraId="6CFE987D" w14:textId="77777777" w:rsidR="002516DF" w:rsidRDefault="002516DF" w:rsidP="002516DF">
      <w:pPr>
        <w:rPr>
          <w:rFonts w:ascii="Calibri" w:hAnsi="Calibri" w:cs="Calibri"/>
          <w:iCs/>
          <w:szCs w:val="22"/>
          <w:lang w:eastAsia="ko-KR"/>
        </w:rPr>
      </w:pPr>
      <w:r w:rsidRPr="00130D2F">
        <w:rPr>
          <w:rFonts w:ascii="Calibri" w:hAnsi="Calibri" w:cs="Calibri" w:hint="eastAsia"/>
          <w:iCs/>
          <w:szCs w:val="22"/>
          <w:lang w:eastAsia="ko-KR"/>
        </w:rPr>
        <w:t xml:space="preserve">To ensure resilient </w:t>
      </w:r>
      <w:r>
        <w:rPr>
          <w:rFonts w:ascii="Calibri" w:hAnsi="Calibri" w:cs="Calibri" w:hint="eastAsia"/>
          <w:iCs/>
          <w:szCs w:val="22"/>
          <w:lang w:eastAsia="ko-KR"/>
        </w:rPr>
        <w:t>service</w:t>
      </w:r>
      <w:r w:rsidRPr="00130D2F">
        <w:rPr>
          <w:rFonts w:ascii="Calibri" w:hAnsi="Calibri" w:cs="Calibri" w:hint="eastAsia"/>
          <w:iCs/>
          <w:szCs w:val="22"/>
          <w:lang w:eastAsia="ko-KR"/>
        </w:rPr>
        <w:t xml:space="preserve"> </w:t>
      </w:r>
      <w:r>
        <w:rPr>
          <w:rFonts w:ascii="Calibri" w:hAnsi="Calibri" w:cs="Calibri" w:hint="eastAsia"/>
          <w:iCs/>
          <w:szCs w:val="22"/>
          <w:lang w:eastAsia="ko-KR"/>
        </w:rPr>
        <w:t>provision of</w:t>
      </w:r>
      <w:r w:rsidRPr="00130D2F">
        <w:rPr>
          <w:rFonts w:ascii="Calibri" w:hAnsi="Calibri" w:cs="Calibri" w:hint="eastAsia"/>
          <w:iCs/>
          <w:szCs w:val="22"/>
          <w:lang w:eastAsia="ko-KR"/>
        </w:rPr>
        <w:t xml:space="preserve"> 6G NTN, </w:t>
      </w:r>
      <w:r>
        <w:rPr>
          <w:rFonts w:ascii="Calibri" w:hAnsi="Calibri" w:cs="Calibri" w:hint="eastAsia"/>
          <w:iCs/>
          <w:szCs w:val="22"/>
          <w:lang w:eastAsia="ko-KR"/>
        </w:rPr>
        <w:t xml:space="preserve">it is desirable for </w:t>
      </w:r>
      <w:r w:rsidRPr="00130D2F">
        <w:rPr>
          <w:rFonts w:ascii="Calibri" w:hAnsi="Calibri" w:cs="Calibri" w:hint="eastAsia"/>
          <w:iCs/>
          <w:szCs w:val="22"/>
          <w:lang w:eastAsia="ko-KR"/>
        </w:rPr>
        <w:t xml:space="preserve">the radio design </w:t>
      </w:r>
      <w:r>
        <w:rPr>
          <w:rFonts w:ascii="Calibri" w:hAnsi="Calibri" w:cs="Calibri" w:hint="eastAsia"/>
          <w:iCs/>
          <w:szCs w:val="22"/>
          <w:lang w:eastAsia="ko-KR"/>
        </w:rPr>
        <w:t xml:space="preserve">to </w:t>
      </w:r>
      <w:r w:rsidRPr="00130D2F">
        <w:rPr>
          <w:rFonts w:ascii="Calibri" w:hAnsi="Calibri" w:cs="Calibri" w:hint="eastAsia"/>
          <w:iCs/>
          <w:szCs w:val="22"/>
          <w:lang w:eastAsia="ko-KR"/>
        </w:rPr>
        <w:t xml:space="preserve">support GNSS-independent operation. </w:t>
      </w:r>
      <w:r>
        <w:rPr>
          <w:rFonts w:ascii="Calibri" w:hAnsi="Calibri" w:cs="Calibri" w:hint="eastAsia"/>
          <w:iCs/>
          <w:szCs w:val="22"/>
          <w:lang w:eastAsia="ko-KR"/>
        </w:rPr>
        <w:t xml:space="preserve">This </w:t>
      </w:r>
      <w:r>
        <w:rPr>
          <w:rFonts w:ascii="Calibri" w:hAnsi="Calibri" w:cs="Calibri"/>
          <w:iCs/>
          <w:szCs w:val="22"/>
          <w:lang w:eastAsia="ko-KR"/>
        </w:rPr>
        <w:t>allows</w:t>
      </w:r>
      <w:r>
        <w:rPr>
          <w:rFonts w:ascii="Calibri" w:hAnsi="Calibri" w:cs="Calibri" w:hint="eastAsia"/>
          <w:iCs/>
          <w:szCs w:val="22"/>
          <w:lang w:eastAsia="ko-KR"/>
        </w:rPr>
        <w:t xml:space="preserve">, for </w:t>
      </w:r>
      <w:r>
        <w:rPr>
          <w:rFonts w:ascii="Calibri" w:hAnsi="Calibri" w:cs="Calibri"/>
          <w:iCs/>
          <w:szCs w:val="22"/>
          <w:lang w:eastAsia="ko-KR"/>
        </w:rPr>
        <w:t>example</w:t>
      </w:r>
      <w:r>
        <w:rPr>
          <w:rFonts w:ascii="Calibri" w:hAnsi="Calibri" w:cs="Calibri" w:hint="eastAsia"/>
          <w:iCs/>
          <w:szCs w:val="22"/>
          <w:lang w:eastAsia="ko-KR"/>
        </w:rPr>
        <w:t xml:space="preserve">, </w:t>
      </w:r>
      <w:r w:rsidRPr="00B83BC2">
        <w:rPr>
          <w:rFonts w:ascii="Calibri" w:hAnsi="Calibri" w:cs="Calibri"/>
          <w:iCs/>
          <w:szCs w:val="22"/>
          <w:lang w:eastAsia="ko-KR"/>
        </w:rPr>
        <w:t xml:space="preserve">6G NTN-based communication to be supported without </w:t>
      </w:r>
      <w:r>
        <w:rPr>
          <w:rFonts w:ascii="Calibri" w:hAnsi="Calibri" w:cs="Calibri" w:hint="eastAsia"/>
          <w:iCs/>
          <w:szCs w:val="22"/>
          <w:lang w:eastAsia="ko-KR"/>
        </w:rPr>
        <w:t>any issues</w:t>
      </w:r>
      <w:r w:rsidRPr="00B83BC2">
        <w:rPr>
          <w:rFonts w:ascii="Calibri" w:hAnsi="Calibri" w:cs="Calibri"/>
          <w:iCs/>
          <w:szCs w:val="22"/>
          <w:lang w:eastAsia="ko-KR"/>
        </w:rPr>
        <w:t xml:space="preserve"> </w:t>
      </w:r>
      <w:r>
        <w:rPr>
          <w:rFonts w:ascii="Calibri" w:hAnsi="Calibri" w:cs="Calibri" w:hint="eastAsia"/>
          <w:iCs/>
          <w:szCs w:val="22"/>
          <w:lang w:eastAsia="ko-KR"/>
        </w:rPr>
        <w:t xml:space="preserve">even </w:t>
      </w:r>
      <w:r w:rsidRPr="00B83BC2">
        <w:rPr>
          <w:rFonts w:ascii="Calibri" w:hAnsi="Calibri" w:cs="Calibri"/>
          <w:iCs/>
          <w:szCs w:val="22"/>
          <w:lang w:eastAsia="ko-KR"/>
        </w:rPr>
        <w:t>for</w:t>
      </w:r>
      <w:r>
        <w:rPr>
          <w:rFonts w:ascii="Calibri" w:hAnsi="Calibri" w:cs="Calibri" w:hint="eastAsia"/>
          <w:iCs/>
          <w:szCs w:val="22"/>
          <w:lang w:eastAsia="ko-KR"/>
        </w:rPr>
        <w:t xml:space="preserve"> </w:t>
      </w:r>
      <w:r w:rsidRPr="00F14DD5">
        <w:rPr>
          <w:rFonts w:ascii="Calibri" w:hAnsi="Calibri" w:cs="Calibri"/>
          <w:iCs/>
          <w:szCs w:val="22"/>
          <w:lang w:val="en-US" w:eastAsia="ko-KR"/>
        </w:rPr>
        <w:t>UEs with GNSS capability whose location information is unavailable due to GNSS spoofing/jamming</w:t>
      </w:r>
      <w:r>
        <w:rPr>
          <w:rFonts w:ascii="Calibri" w:hAnsi="Calibri" w:cs="Calibri" w:hint="eastAsia"/>
          <w:iCs/>
          <w:szCs w:val="22"/>
          <w:lang w:val="en-US" w:eastAsia="ko-KR"/>
        </w:rPr>
        <w:t xml:space="preserve"> and</w:t>
      </w:r>
      <w:r w:rsidRPr="00F14DD5">
        <w:rPr>
          <w:rFonts w:ascii="Calibri" w:hAnsi="Calibri" w:cs="Calibri"/>
          <w:iCs/>
          <w:szCs w:val="22"/>
          <w:lang w:val="en-US" w:eastAsia="ko-KR"/>
        </w:rPr>
        <w:t xml:space="preserve"> UEs without GNSS capability (e.g., IoT devices) due to increased implementation complexity/battery consumption.</w:t>
      </w:r>
      <w:r w:rsidRPr="00D502B6">
        <w:rPr>
          <w:rFonts w:ascii="Calibri" w:hAnsi="Calibri" w:cs="Calibri" w:hint="eastAsia"/>
          <w:iCs/>
          <w:szCs w:val="22"/>
          <w:lang w:eastAsia="ko-KR"/>
        </w:rPr>
        <w:t xml:space="preserve"> </w:t>
      </w:r>
    </w:p>
    <w:p w14:paraId="7E2CE140" w14:textId="77777777" w:rsidR="002516DF" w:rsidRDefault="002516DF" w:rsidP="002516DF">
      <w:pPr>
        <w:rPr>
          <w:rFonts w:ascii="Calibri" w:hAnsi="Calibri" w:cs="Calibri"/>
          <w:iCs/>
          <w:szCs w:val="22"/>
          <w:lang w:eastAsia="ko-KR"/>
        </w:rPr>
      </w:pPr>
    </w:p>
    <w:p w14:paraId="1ACA5F8B" w14:textId="77777777" w:rsidR="002516DF" w:rsidRPr="004600BB" w:rsidRDefault="002516DF" w:rsidP="002516DF">
      <w:pPr>
        <w:rPr>
          <w:rFonts w:ascii="Calibri" w:hAnsi="Calibri" w:cs="Calibri"/>
          <w:b/>
          <w:bCs/>
          <w:i/>
          <w:szCs w:val="22"/>
          <w:lang w:eastAsia="ko-KR"/>
        </w:rPr>
      </w:pPr>
      <w:r w:rsidRPr="004600BB">
        <w:rPr>
          <w:rFonts w:ascii="Calibri" w:hAnsi="Calibri" w:cs="Calibri" w:hint="eastAsia"/>
          <w:b/>
          <w:bCs/>
          <w:i/>
          <w:szCs w:val="22"/>
          <w:lang w:eastAsia="ko-KR"/>
        </w:rPr>
        <w:t xml:space="preserve">Proposal 3: </w:t>
      </w:r>
      <w:r w:rsidRPr="004600BB">
        <w:rPr>
          <w:rFonts w:ascii="Calibri" w:hAnsi="Calibri" w:cs="Calibri"/>
          <w:b/>
          <w:bCs/>
          <w:i/>
          <w:szCs w:val="22"/>
          <w:lang w:eastAsia="ko-KR"/>
        </w:rPr>
        <w:t>GNSS</w:t>
      </w:r>
      <w:r>
        <w:rPr>
          <w:rFonts w:ascii="Calibri" w:hAnsi="Calibri" w:cs="Calibri" w:hint="eastAsia"/>
          <w:b/>
          <w:bCs/>
          <w:i/>
          <w:szCs w:val="22"/>
          <w:lang w:eastAsia="ko-KR"/>
        </w:rPr>
        <w:t>-</w:t>
      </w:r>
      <w:r w:rsidRPr="004600BB">
        <w:rPr>
          <w:rFonts w:ascii="Calibri" w:hAnsi="Calibri" w:cs="Calibri"/>
          <w:b/>
          <w:bCs/>
          <w:i/>
          <w:szCs w:val="22"/>
          <w:lang w:eastAsia="ko-KR"/>
        </w:rPr>
        <w:t xml:space="preserve">independent operation </w:t>
      </w:r>
      <w:r>
        <w:rPr>
          <w:rFonts w:ascii="Calibri" w:hAnsi="Calibri" w:cs="Calibri" w:hint="eastAsia"/>
          <w:b/>
          <w:bCs/>
          <w:i/>
          <w:szCs w:val="22"/>
          <w:lang w:eastAsia="ko-KR"/>
        </w:rPr>
        <w:t>shall</w:t>
      </w:r>
      <w:r w:rsidRPr="004600BB">
        <w:rPr>
          <w:rFonts w:ascii="Calibri" w:hAnsi="Calibri" w:cs="Calibri"/>
          <w:b/>
          <w:bCs/>
          <w:i/>
          <w:szCs w:val="22"/>
          <w:lang w:eastAsia="ko-KR"/>
        </w:rPr>
        <w:t xml:space="preserve"> be supported for 6G NTN from Day-1.</w:t>
      </w:r>
    </w:p>
    <w:p w14:paraId="60C024BF" w14:textId="77777777" w:rsidR="002516DF" w:rsidRDefault="002516DF" w:rsidP="002516DF">
      <w:pPr>
        <w:rPr>
          <w:rFonts w:ascii="Calibri" w:hAnsi="Calibri" w:cs="Calibri"/>
          <w:iCs/>
          <w:szCs w:val="22"/>
          <w:lang w:eastAsia="ko-KR"/>
        </w:rPr>
      </w:pPr>
    </w:p>
    <w:p w14:paraId="464E97A4" w14:textId="77777777" w:rsidR="002516DF" w:rsidRDefault="002516DF" w:rsidP="002516DF">
      <w:pPr>
        <w:rPr>
          <w:rFonts w:ascii="Roboto" w:hAnsi="Roboto"/>
          <w:color w:val="3C4043"/>
          <w:sz w:val="27"/>
          <w:szCs w:val="27"/>
          <w:shd w:val="clear" w:color="auto" w:fill="F5F5F5"/>
          <w:lang w:eastAsia="ko-KR"/>
        </w:rPr>
      </w:pPr>
      <w:r w:rsidRPr="00002C5F">
        <w:rPr>
          <w:rFonts w:ascii="Calibri" w:hAnsi="Calibri" w:cs="Calibri"/>
          <w:iCs/>
          <w:szCs w:val="22"/>
          <w:lang w:val="en-US" w:eastAsia="ko-KR"/>
        </w:rPr>
        <w:t>Since NR NTN was introduced after TN standardization had already progressed significantly, it was defined by reusing TN-related functions as much as possible without sufficient consideration of its performance optimization and UE implementation complexity. This means that simply reusing NR NTN functions for 6G NTN would negatively impact its necessity and commercialization.</w:t>
      </w:r>
      <w:r>
        <w:rPr>
          <w:rFonts w:ascii="Calibri" w:hAnsi="Calibri" w:cs="Calibri" w:hint="eastAsia"/>
          <w:iCs/>
          <w:szCs w:val="22"/>
          <w:lang w:val="en-US" w:eastAsia="ko-KR"/>
        </w:rPr>
        <w:t xml:space="preserve"> </w:t>
      </w:r>
      <w:r w:rsidRPr="00A71A99">
        <w:rPr>
          <w:rFonts w:ascii="Calibri" w:hAnsi="Calibri" w:cs="Calibri"/>
          <w:iCs/>
          <w:szCs w:val="22"/>
          <w:lang w:val="en-US" w:eastAsia="ko-KR"/>
        </w:rPr>
        <w:t>One of the enhancement techniques that can be considered in 6G NTN is multi-</w:t>
      </w:r>
      <w:r w:rsidRPr="002127BC">
        <w:rPr>
          <w:rFonts w:ascii="Calibri" w:hAnsi="Calibri" w:cs="Calibri"/>
          <w:iCs/>
          <w:szCs w:val="22"/>
          <w:lang w:val="en-US" w:eastAsia="ko-KR"/>
        </w:rPr>
        <w:t xml:space="preserve">connectivity </w:t>
      </w:r>
      <w:r w:rsidRPr="00A71A99">
        <w:rPr>
          <w:rFonts w:ascii="Calibri" w:hAnsi="Calibri" w:cs="Calibri"/>
          <w:iCs/>
          <w:szCs w:val="22"/>
          <w:lang w:val="en-US" w:eastAsia="ko-KR"/>
        </w:rPr>
        <w:t>between NTN</w:t>
      </w:r>
      <w:r>
        <w:rPr>
          <w:rFonts w:ascii="Calibri" w:hAnsi="Calibri" w:cs="Calibri" w:hint="eastAsia"/>
          <w:iCs/>
          <w:szCs w:val="22"/>
          <w:lang w:val="en-US" w:eastAsia="ko-KR"/>
        </w:rPr>
        <w:t xml:space="preserve"> and NTN</w:t>
      </w:r>
      <w:r w:rsidRPr="00A71A99">
        <w:rPr>
          <w:rFonts w:ascii="Calibri" w:hAnsi="Calibri" w:cs="Calibri"/>
          <w:iCs/>
          <w:szCs w:val="22"/>
          <w:lang w:val="en-US" w:eastAsia="ko-KR"/>
        </w:rPr>
        <w:t xml:space="preserve"> or between TN and NTN.</w:t>
      </w:r>
      <w:r>
        <w:rPr>
          <w:rFonts w:ascii="Calibri" w:hAnsi="Calibri" w:cs="Calibri" w:hint="eastAsia"/>
          <w:iCs/>
          <w:szCs w:val="22"/>
          <w:lang w:val="en-US" w:eastAsia="ko-KR"/>
        </w:rPr>
        <w:t xml:space="preserve"> </w:t>
      </w:r>
      <w:r w:rsidRPr="007573AC">
        <w:rPr>
          <w:rFonts w:ascii="Calibri" w:hAnsi="Calibri" w:cs="Calibri"/>
          <w:iCs/>
          <w:szCs w:val="22"/>
          <w:lang w:eastAsia="ko-KR"/>
        </w:rPr>
        <w:t>This can provide benefits such as improved connection stability (by avoiding frequent handovers)</w:t>
      </w:r>
      <w:r>
        <w:rPr>
          <w:rFonts w:ascii="Calibri" w:hAnsi="Calibri" w:cs="Calibri" w:hint="eastAsia"/>
          <w:iCs/>
          <w:szCs w:val="22"/>
          <w:lang w:eastAsia="ko-KR"/>
        </w:rPr>
        <w:t xml:space="preserve">, </w:t>
      </w:r>
      <w:r w:rsidRPr="007573AC">
        <w:rPr>
          <w:rFonts w:ascii="Calibri" w:hAnsi="Calibri" w:cs="Calibri"/>
          <w:iCs/>
          <w:szCs w:val="22"/>
          <w:lang w:eastAsia="ko-KR"/>
        </w:rPr>
        <w:t>increased throughput</w:t>
      </w:r>
      <w:r>
        <w:rPr>
          <w:rFonts w:ascii="Calibri" w:hAnsi="Calibri" w:cs="Calibri" w:hint="eastAsia"/>
          <w:iCs/>
          <w:szCs w:val="22"/>
          <w:lang w:eastAsia="ko-KR"/>
        </w:rPr>
        <w:t xml:space="preserve">, etc. </w:t>
      </w:r>
      <w:r w:rsidRPr="004C48AA">
        <w:rPr>
          <w:rFonts w:ascii="Calibri" w:hAnsi="Calibri" w:cs="Calibri"/>
          <w:iCs/>
          <w:szCs w:val="22"/>
          <w:lang w:val="en-US" w:eastAsia="ko-KR"/>
        </w:rPr>
        <w:t>In the former case, the NTNs may be located in different orbits</w:t>
      </w:r>
      <w:r>
        <w:rPr>
          <w:rFonts w:ascii="Calibri" w:hAnsi="Calibri" w:cs="Calibri" w:hint="eastAsia"/>
          <w:iCs/>
          <w:szCs w:val="22"/>
          <w:lang w:val="en-US" w:eastAsia="ko-KR"/>
        </w:rPr>
        <w:t xml:space="preserve"> </w:t>
      </w:r>
      <w:r>
        <w:rPr>
          <w:rFonts w:ascii="Calibri" w:hAnsi="Calibri" w:cs="Calibri" w:hint="eastAsia"/>
          <w:iCs/>
          <w:szCs w:val="22"/>
          <w:lang w:eastAsia="ko-KR"/>
        </w:rPr>
        <w:t xml:space="preserve">(e.g., </w:t>
      </w:r>
      <w:r w:rsidRPr="002127BC">
        <w:rPr>
          <w:rFonts w:ascii="Calibri" w:hAnsi="Calibri" w:cs="Calibri"/>
          <w:iCs/>
          <w:szCs w:val="22"/>
          <w:lang w:val="en-US" w:eastAsia="ko-KR"/>
        </w:rPr>
        <w:t>GSO</w:t>
      </w:r>
      <w:r>
        <w:rPr>
          <w:rFonts w:ascii="Calibri" w:hAnsi="Calibri" w:cs="Calibri" w:hint="eastAsia"/>
          <w:iCs/>
          <w:szCs w:val="22"/>
          <w:lang w:val="en-US" w:eastAsia="ko-KR"/>
        </w:rPr>
        <w:t xml:space="preserve"> and </w:t>
      </w:r>
      <w:r w:rsidRPr="002127BC">
        <w:rPr>
          <w:rFonts w:ascii="Calibri" w:hAnsi="Calibri" w:cs="Calibri"/>
          <w:iCs/>
          <w:szCs w:val="22"/>
          <w:lang w:val="en-US" w:eastAsia="ko-KR"/>
        </w:rPr>
        <w:t>NGSO</w:t>
      </w:r>
      <w:r>
        <w:rPr>
          <w:rFonts w:ascii="Calibri" w:hAnsi="Calibri" w:cs="Calibri" w:hint="eastAsia"/>
          <w:iCs/>
          <w:szCs w:val="22"/>
          <w:lang w:eastAsia="ko-KR"/>
        </w:rPr>
        <w:t>)</w:t>
      </w:r>
      <w:r w:rsidRPr="004C48AA">
        <w:rPr>
          <w:rFonts w:ascii="Calibri" w:hAnsi="Calibri" w:cs="Calibri"/>
          <w:iCs/>
          <w:szCs w:val="22"/>
          <w:lang w:val="en-US" w:eastAsia="ko-KR"/>
        </w:rPr>
        <w:t>. In both cases, the NTNs, or the TN and NTN, may have different carrier frequencies</w:t>
      </w:r>
      <w:r>
        <w:rPr>
          <w:rFonts w:ascii="Calibri" w:hAnsi="Calibri" w:cs="Calibri" w:hint="eastAsia"/>
          <w:iCs/>
          <w:szCs w:val="22"/>
          <w:lang w:val="en-US" w:eastAsia="ko-KR"/>
        </w:rPr>
        <w:t xml:space="preserve">, </w:t>
      </w:r>
      <w:r w:rsidRPr="00E07956">
        <w:rPr>
          <w:rFonts w:ascii="Calibri" w:hAnsi="Calibri" w:cs="Calibri"/>
          <w:iCs/>
          <w:szCs w:val="22"/>
          <w:lang w:eastAsia="ko-KR"/>
        </w:rPr>
        <w:t>which requires features such as dual connection or carrier aggregation for 6G NTN.</w:t>
      </w:r>
    </w:p>
    <w:p w14:paraId="501C49C4" w14:textId="77777777" w:rsidR="002516DF" w:rsidRPr="002E7B65" w:rsidRDefault="002516DF" w:rsidP="002516DF">
      <w:pPr>
        <w:rPr>
          <w:rFonts w:ascii="Calibri" w:hAnsi="Calibri" w:cs="Calibri"/>
          <w:iCs/>
          <w:szCs w:val="22"/>
          <w:lang w:eastAsia="ko-KR"/>
        </w:rPr>
      </w:pPr>
    </w:p>
    <w:p w14:paraId="6846C037" w14:textId="77777777" w:rsidR="002516DF" w:rsidRPr="004600BB" w:rsidRDefault="002516DF" w:rsidP="002516DF">
      <w:pPr>
        <w:rPr>
          <w:rFonts w:ascii="Calibri" w:hAnsi="Calibri" w:cs="Calibri"/>
          <w:b/>
          <w:bCs/>
          <w:i/>
          <w:szCs w:val="22"/>
          <w:lang w:eastAsia="ko-KR"/>
        </w:rPr>
      </w:pPr>
      <w:r w:rsidRPr="004600BB">
        <w:rPr>
          <w:rFonts w:ascii="Calibri" w:hAnsi="Calibri" w:cs="Calibri" w:hint="eastAsia"/>
          <w:b/>
          <w:bCs/>
          <w:i/>
          <w:szCs w:val="22"/>
          <w:lang w:eastAsia="ko-KR"/>
        </w:rPr>
        <w:t xml:space="preserve">Proposal </w:t>
      </w:r>
      <w:r>
        <w:rPr>
          <w:rFonts w:ascii="Calibri" w:hAnsi="Calibri" w:cs="Calibri" w:hint="eastAsia"/>
          <w:b/>
          <w:bCs/>
          <w:i/>
          <w:szCs w:val="22"/>
          <w:lang w:eastAsia="ko-KR"/>
        </w:rPr>
        <w:t>4</w:t>
      </w:r>
      <w:r w:rsidRPr="004600BB">
        <w:rPr>
          <w:rFonts w:ascii="Calibri" w:hAnsi="Calibri" w:cs="Calibri" w:hint="eastAsia"/>
          <w:b/>
          <w:bCs/>
          <w:i/>
          <w:szCs w:val="22"/>
          <w:lang w:eastAsia="ko-KR"/>
        </w:rPr>
        <w:t xml:space="preserve">: </w:t>
      </w:r>
      <w:r w:rsidRPr="00BE0980">
        <w:rPr>
          <w:rFonts w:ascii="Calibri" w:hAnsi="Calibri" w:cs="Calibri"/>
          <w:b/>
          <w:bCs/>
          <w:i/>
          <w:szCs w:val="22"/>
          <w:lang w:eastAsia="ko-KR"/>
        </w:rPr>
        <w:t>Spectrum aggregation for multi-connectivity between NTN</w:t>
      </w:r>
      <w:r>
        <w:rPr>
          <w:rFonts w:ascii="Calibri" w:hAnsi="Calibri" w:cs="Calibri" w:hint="eastAsia"/>
          <w:b/>
          <w:bCs/>
          <w:i/>
          <w:szCs w:val="22"/>
          <w:lang w:eastAsia="ko-KR"/>
        </w:rPr>
        <w:t xml:space="preserve"> and NTN</w:t>
      </w:r>
      <w:r w:rsidRPr="00BE0980">
        <w:rPr>
          <w:rFonts w:ascii="Calibri" w:hAnsi="Calibri" w:cs="Calibri"/>
          <w:b/>
          <w:bCs/>
          <w:i/>
          <w:szCs w:val="22"/>
          <w:lang w:eastAsia="ko-KR"/>
        </w:rPr>
        <w:t xml:space="preserve"> or between TN and NTN </w:t>
      </w:r>
      <w:r>
        <w:rPr>
          <w:rFonts w:ascii="Calibri" w:hAnsi="Calibri" w:cs="Calibri" w:hint="eastAsia"/>
          <w:b/>
          <w:bCs/>
          <w:i/>
          <w:szCs w:val="22"/>
          <w:lang w:eastAsia="ko-KR"/>
        </w:rPr>
        <w:t>shall</w:t>
      </w:r>
      <w:r w:rsidRPr="00BE0980">
        <w:rPr>
          <w:rFonts w:ascii="Calibri" w:hAnsi="Calibri" w:cs="Calibri"/>
          <w:b/>
          <w:bCs/>
          <w:i/>
          <w:szCs w:val="22"/>
          <w:lang w:eastAsia="ko-KR"/>
        </w:rPr>
        <w:t xml:space="preserve"> be supported in Day-1.</w:t>
      </w:r>
    </w:p>
    <w:p w14:paraId="1DED54DF" w14:textId="77777777" w:rsidR="002E7B65" w:rsidRPr="002516DF" w:rsidRDefault="002E7B65" w:rsidP="00BE3A17">
      <w:pPr>
        <w:rPr>
          <w:rFonts w:ascii="Calibri" w:hAnsi="Calibri" w:cs="Calibri"/>
          <w:iCs/>
          <w:szCs w:val="22"/>
          <w:lang w:eastAsia="ko-KR"/>
        </w:rPr>
      </w:pPr>
    </w:p>
    <w:p w14:paraId="38B9535B" w14:textId="77777777" w:rsidR="0017469A" w:rsidRPr="00EB3EA8" w:rsidRDefault="00E74F76" w:rsidP="0017469A">
      <w:pPr>
        <w:pStyle w:val="1"/>
      </w:pPr>
      <w:r w:rsidRPr="00EB3EA8">
        <w:t>Summary</w:t>
      </w:r>
    </w:p>
    <w:p w14:paraId="082A4B50" w14:textId="5E69EEC9" w:rsidR="00AF46F0" w:rsidRDefault="005A7D7B" w:rsidP="00965BFD">
      <w:pPr>
        <w:rPr>
          <w:b/>
          <w:lang w:eastAsia="ko-KR"/>
        </w:rPr>
      </w:pPr>
      <w:r w:rsidRPr="009554E8">
        <w:rPr>
          <w:rFonts w:ascii="Calibri" w:hAnsi="Calibri" w:cs="Calibri"/>
          <w:bCs/>
          <w:szCs w:val="22"/>
          <w:lang w:eastAsia="ko-KR"/>
        </w:rPr>
        <w:t>In this contribution, we discussed</w:t>
      </w:r>
      <w:r w:rsidR="00687A87" w:rsidRPr="009554E8">
        <w:rPr>
          <w:rFonts w:ascii="Calibri" w:hAnsi="Calibri" w:cs="Calibri" w:hint="eastAsia"/>
          <w:bCs/>
          <w:szCs w:val="22"/>
          <w:lang w:eastAsia="ko-KR"/>
        </w:rPr>
        <w:t xml:space="preserve"> the </w:t>
      </w:r>
      <w:r w:rsidR="00BE3A17">
        <w:rPr>
          <w:rFonts w:ascii="Calibri" w:hAnsi="Calibri" w:cs="Calibri"/>
          <w:bCs/>
          <w:szCs w:val="22"/>
          <w:lang w:eastAsia="ko-KR"/>
        </w:rPr>
        <w:t xml:space="preserve">considerations for 3D mobility, including UAV/UAM/ATG/NTN. </w:t>
      </w:r>
    </w:p>
    <w:p w14:paraId="70451AB2" w14:textId="77777777" w:rsidR="00BE3A17" w:rsidRPr="00BE3A17" w:rsidRDefault="00BE3A17" w:rsidP="00BE3A17">
      <w:pPr>
        <w:rPr>
          <w:rFonts w:ascii="Calibri" w:hAnsi="Calibri" w:cs="Calibri"/>
          <w:b/>
          <w:bCs/>
          <w:i/>
          <w:szCs w:val="22"/>
          <w:lang w:eastAsia="ko-KR"/>
        </w:rPr>
      </w:pPr>
      <w:r w:rsidRPr="00BE3A17">
        <w:rPr>
          <w:rFonts w:ascii="Calibri" w:hAnsi="Calibri" w:cs="Calibri" w:hint="eastAsia"/>
          <w:b/>
          <w:bCs/>
          <w:i/>
          <w:szCs w:val="22"/>
          <w:lang w:eastAsia="ko-KR"/>
        </w:rPr>
        <w:t>P</w:t>
      </w:r>
      <w:r w:rsidRPr="00BE3A17">
        <w:rPr>
          <w:rFonts w:ascii="Calibri" w:hAnsi="Calibri" w:cs="Calibri"/>
          <w:b/>
          <w:bCs/>
          <w:i/>
          <w:szCs w:val="22"/>
          <w:lang w:eastAsia="ko-KR"/>
        </w:rPr>
        <w:t xml:space="preserve">roposal 1: 6G supports features related to aerial UEs, including UAV, UAM, ATG use cases from Day-1. </w:t>
      </w:r>
    </w:p>
    <w:p w14:paraId="41942FAA" w14:textId="243F5DE2" w:rsidR="00BE3A17" w:rsidRDefault="00BE3A17" w:rsidP="00BE3A17">
      <w:pPr>
        <w:rPr>
          <w:rFonts w:ascii="Calibri" w:hAnsi="Calibri" w:cs="Calibri"/>
          <w:b/>
          <w:bCs/>
          <w:i/>
          <w:szCs w:val="22"/>
          <w:lang w:eastAsia="ko-KR"/>
        </w:rPr>
      </w:pPr>
      <w:r w:rsidRPr="00BE3A17">
        <w:rPr>
          <w:rFonts w:ascii="Calibri" w:hAnsi="Calibri" w:cs="Calibri"/>
          <w:b/>
          <w:bCs/>
          <w:i/>
          <w:szCs w:val="22"/>
          <w:lang w:eastAsia="ko-KR"/>
        </w:rPr>
        <w:t xml:space="preserve">Proposal 2: The features introduced for UAV and ATG in </w:t>
      </w:r>
      <w:r w:rsidR="00C426D0" w:rsidRPr="00BE3A17">
        <w:rPr>
          <w:rFonts w:ascii="Calibri" w:hAnsi="Calibri" w:cs="Calibri"/>
          <w:b/>
          <w:bCs/>
          <w:i/>
          <w:szCs w:val="22"/>
          <w:lang w:eastAsia="ko-KR"/>
        </w:rPr>
        <w:t>NR are</w:t>
      </w:r>
      <w:r w:rsidRPr="00BE3A17">
        <w:rPr>
          <w:rFonts w:ascii="Calibri" w:hAnsi="Calibri" w:cs="Calibri"/>
          <w:b/>
          <w:bCs/>
          <w:i/>
          <w:szCs w:val="22"/>
          <w:lang w:eastAsia="ko-KR"/>
        </w:rPr>
        <w:t xml:space="preserve"> considered as baseline for 6G support of aerial UEs. </w:t>
      </w:r>
    </w:p>
    <w:p w14:paraId="7722F4B6" w14:textId="77777777" w:rsidR="002516DF" w:rsidRPr="004600BB" w:rsidRDefault="002516DF" w:rsidP="002516DF">
      <w:pPr>
        <w:rPr>
          <w:rFonts w:ascii="Calibri" w:hAnsi="Calibri" w:cs="Calibri"/>
          <w:b/>
          <w:bCs/>
          <w:i/>
          <w:szCs w:val="22"/>
          <w:lang w:eastAsia="ko-KR"/>
        </w:rPr>
      </w:pPr>
      <w:r w:rsidRPr="004600BB">
        <w:rPr>
          <w:rFonts w:ascii="Calibri" w:hAnsi="Calibri" w:cs="Calibri" w:hint="eastAsia"/>
          <w:b/>
          <w:bCs/>
          <w:i/>
          <w:szCs w:val="22"/>
          <w:lang w:eastAsia="ko-KR"/>
        </w:rPr>
        <w:t xml:space="preserve">Proposal 3: </w:t>
      </w:r>
      <w:r w:rsidRPr="004600BB">
        <w:rPr>
          <w:rFonts w:ascii="Calibri" w:hAnsi="Calibri" w:cs="Calibri"/>
          <w:b/>
          <w:bCs/>
          <w:i/>
          <w:szCs w:val="22"/>
          <w:lang w:eastAsia="ko-KR"/>
        </w:rPr>
        <w:t>GNSS</w:t>
      </w:r>
      <w:r>
        <w:rPr>
          <w:rFonts w:ascii="Calibri" w:hAnsi="Calibri" w:cs="Calibri" w:hint="eastAsia"/>
          <w:b/>
          <w:bCs/>
          <w:i/>
          <w:szCs w:val="22"/>
          <w:lang w:eastAsia="ko-KR"/>
        </w:rPr>
        <w:t>-</w:t>
      </w:r>
      <w:r w:rsidRPr="004600BB">
        <w:rPr>
          <w:rFonts w:ascii="Calibri" w:hAnsi="Calibri" w:cs="Calibri"/>
          <w:b/>
          <w:bCs/>
          <w:i/>
          <w:szCs w:val="22"/>
          <w:lang w:eastAsia="ko-KR"/>
        </w:rPr>
        <w:t xml:space="preserve">independent operation </w:t>
      </w:r>
      <w:r>
        <w:rPr>
          <w:rFonts w:ascii="Calibri" w:hAnsi="Calibri" w:cs="Calibri" w:hint="eastAsia"/>
          <w:b/>
          <w:bCs/>
          <w:i/>
          <w:szCs w:val="22"/>
          <w:lang w:eastAsia="ko-KR"/>
        </w:rPr>
        <w:t>shall</w:t>
      </w:r>
      <w:r w:rsidRPr="004600BB">
        <w:rPr>
          <w:rFonts w:ascii="Calibri" w:hAnsi="Calibri" w:cs="Calibri"/>
          <w:b/>
          <w:bCs/>
          <w:i/>
          <w:szCs w:val="22"/>
          <w:lang w:eastAsia="ko-KR"/>
        </w:rPr>
        <w:t xml:space="preserve"> be supported for 6G NTN from Day-1.</w:t>
      </w:r>
    </w:p>
    <w:p w14:paraId="78A1887A" w14:textId="103E4ED4" w:rsidR="002516DF" w:rsidRPr="002516DF" w:rsidRDefault="002516DF" w:rsidP="00BE3A17">
      <w:pPr>
        <w:rPr>
          <w:rFonts w:ascii="Calibri" w:hAnsi="Calibri" w:cs="Calibri"/>
          <w:b/>
          <w:bCs/>
          <w:i/>
          <w:szCs w:val="22"/>
          <w:lang w:eastAsia="ko-KR"/>
        </w:rPr>
      </w:pPr>
      <w:r w:rsidRPr="004600BB">
        <w:rPr>
          <w:rFonts w:ascii="Calibri" w:hAnsi="Calibri" w:cs="Calibri" w:hint="eastAsia"/>
          <w:b/>
          <w:bCs/>
          <w:i/>
          <w:szCs w:val="22"/>
          <w:lang w:eastAsia="ko-KR"/>
        </w:rPr>
        <w:t xml:space="preserve">Proposal </w:t>
      </w:r>
      <w:r>
        <w:rPr>
          <w:rFonts w:ascii="Calibri" w:hAnsi="Calibri" w:cs="Calibri" w:hint="eastAsia"/>
          <w:b/>
          <w:bCs/>
          <w:i/>
          <w:szCs w:val="22"/>
          <w:lang w:eastAsia="ko-KR"/>
        </w:rPr>
        <w:t>4</w:t>
      </w:r>
      <w:r w:rsidRPr="004600BB">
        <w:rPr>
          <w:rFonts w:ascii="Calibri" w:hAnsi="Calibri" w:cs="Calibri" w:hint="eastAsia"/>
          <w:b/>
          <w:bCs/>
          <w:i/>
          <w:szCs w:val="22"/>
          <w:lang w:eastAsia="ko-KR"/>
        </w:rPr>
        <w:t xml:space="preserve">: </w:t>
      </w:r>
      <w:r w:rsidRPr="00BE0980">
        <w:rPr>
          <w:rFonts w:ascii="Calibri" w:hAnsi="Calibri" w:cs="Calibri"/>
          <w:b/>
          <w:bCs/>
          <w:i/>
          <w:szCs w:val="22"/>
          <w:lang w:eastAsia="ko-KR"/>
        </w:rPr>
        <w:t>Spectrum aggregation for multi-connectivity between NTN</w:t>
      </w:r>
      <w:r>
        <w:rPr>
          <w:rFonts w:ascii="Calibri" w:hAnsi="Calibri" w:cs="Calibri" w:hint="eastAsia"/>
          <w:b/>
          <w:bCs/>
          <w:i/>
          <w:szCs w:val="22"/>
          <w:lang w:eastAsia="ko-KR"/>
        </w:rPr>
        <w:t xml:space="preserve"> and NTN</w:t>
      </w:r>
      <w:r w:rsidRPr="00BE0980">
        <w:rPr>
          <w:rFonts w:ascii="Calibri" w:hAnsi="Calibri" w:cs="Calibri"/>
          <w:b/>
          <w:bCs/>
          <w:i/>
          <w:szCs w:val="22"/>
          <w:lang w:eastAsia="ko-KR"/>
        </w:rPr>
        <w:t xml:space="preserve"> or between TN and NTN </w:t>
      </w:r>
      <w:r>
        <w:rPr>
          <w:rFonts w:ascii="Calibri" w:hAnsi="Calibri" w:cs="Calibri" w:hint="eastAsia"/>
          <w:b/>
          <w:bCs/>
          <w:i/>
          <w:szCs w:val="22"/>
          <w:lang w:eastAsia="ko-KR"/>
        </w:rPr>
        <w:t>shall</w:t>
      </w:r>
      <w:r w:rsidRPr="00BE0980">
        <w:rPr>
          <w:rFonts w:ascii="Calibri" w:hAnsi="Calibri" w:cs="Calibri"/>
          <w:b/>
          <w:bCs/>
          <w:i/>
          <w:szCs w:val="22"/>
          <w:lang w:eastAsia="ko-KR"/>
        </w:rPr>
        <w:t xml:space="preserve"> be supported in Day-1.</w:t>
      </w:r>
    </w:p>
    <w:sectPr w:rsidR="002516DF" w:rsidRPr="002516DF">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7189" w14:textId="77777777" w:rsidR="00F0484D" w:rsidRDefault="00F0484D">
      <w:pPr>
        <w:spacing w:after="0"/>
      </w:pPr>
      <w:r>
        <w:separator/>
      </w:r>
    </w:p>
  </w:endnote>
  <w:endnote w:type="continuationSeparator" w:id="0">
    <w:p w14:paraId="05AF4D89" w14:textId="77777777" w:rsidR="00F0484D" w:rsidRDefault="00F04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CF8B7A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D7D3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D7D35">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1C75" w14:textId="77777777" w:rsidR="00F0484D" w:rsidRDefault="00F0484D">
      <w:pPr>
        <w:spacing w:after="0"/>
      </w:pPr>
      <w:r>
        <w:separator/>
      </w:r>
    </w:p>
  </w:footnote>
  <w:footnote w:type="continuationSeparator" w:id="0">
    <w:p w14:paraId="055FE460" w14:textId="77777777" w:rsidR="00F0484D" w:rsidRDefault="00F04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08C6" w14:textId="37C1A26F" w:rsidR="00BB7C01" w:rsidRDefault="00BB7C01">
    <w:pPr>
      <w:pStyle w:val="a5"/>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맑은 고딕" w:eastAsia="맑은 고딕" w:hAnsi="맑은 고딕"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6"/>
  </w:num>
  <w:num w:numId="8">
    <w:abstractNumId w:val="19"/>
  </w:num>
  <w:num w:numId="9">
    <w:abstractNumId w:val="24"/>
  </w:num>
  <w:num w:numId="10">
    <w:abstractNumId w:val="13"/>
    <w:lvlOverride w:ilvl="0">
      <w:startOverride w:val="1"/>
    </w:lvlOverride>
  </w:num>
  <w:num w:numId="11">
    <w:abstractNumId w:val="2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5"/>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C8"/>
    <w:rsid w:val="000003D6"/>
    <w:rsid w:val="0000044D"/>
    <w:rsid w:val="000007FC"/>
    <w:rsid w:val="00000963"/>
    <w:rsid w:val="00000AB3"/>
    <w:rsid w:val="0000104A"/>
    <w:rsid w:val="000016FE"/>
    <w:rsid w:val="00001A54"/>
    <w:rsid w:val="00001ACF"/>
    <w:rsid w:val="00002032"/>
    <w:rsid w:val="000022E6"/>
    <w:rsid w:val="000023EB"/>
    <w:rsid w:val="000029F7"/>
    <w:rsid w:val="00002A50"/>
    <w:rsid w:val="00002C5F"/>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1CE"/>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149"/>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6B5"/>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662"/>
    <w:rsid w:val="00125BC4"/>
    <w:rsid w:val="00125ECE"/>
    <w:rsid w:val="00126010"/>
    <w:rsid w:val="001263B3"/>
    <w:rsid w:val="001267EA"/>
    <w:rsid w:val="00126B2A"/>
    <w:rsid w:val="00127380"/>
    <w:rsid w:val="00127F89"/>
    <w:rsid w:val="001302FB"/>
    <w:rsid w:val="001305EB"/>
    <w:rsid w:val="00130B47"/>
    <w:rsid w:val="00130D2F"/>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00B"/>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633"/>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15"/>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4C4"/>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7BC"/>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C6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6DF"/>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22"/>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847"/>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6E"/>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2D"/>
    <w:rsid w:val="002C4BF7"/>
    <w:rsid w:val="002C4F08"/>
    <w:rsid w:val="002C534E"/>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1A"/>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B6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420"/>
    <w:rsid w:val="002F49DE"/>
    <w:rsid w:val="002F5727"/>
    <w:rsid w:val="002F5985"/>
    <w:rsid w:val="002F5E21"/>
    <w:rsid w:val="002F6DEF"/>
    <w:rsid w:val="002F730B"/>
    <w:rsid w:val="002F73A6"/>
    <w:rsid w:val="002F75FB"/>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9C2"/>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156"/>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BA2"/>
    <w:rsid w:val="00356C8D"/>
    <w:rsid w:val="00356EA5"/>
    <w:rsid w:val="003574E5"/>
    <w:rsid w:val="00357512"/>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9A3"/>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47C"/>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98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153B"/>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23F"/>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195"/>
    <w:rsid w:val="00457372"/>
    <w:rsid w:val="004573E3"/>
    <w:rsid w:val="004577A0"/>
    <w:rsid w:val="00457A20"/>
    <w:rsid w:val="004600BB"/>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B5B"/>
    <w:rsid w:val="00470EC3"/>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48B"/>
    <w:rsid w:val="004A2685"/>
    <w:rsid w:val="004A315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8AA"/>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D79BC"/>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92A"/>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6EB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2AA"/>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8AD"/>
    <w:rsid w:val="00560AC9"/>
    <w:rsid w:val="00561896"/>
    <w:rsid w:val="00561C42"/>
    <w:rsid w:val="00561E86"/>
    <w:rsid w:val="00561FBA"/>
    <w:rsid w:val="00562426"/>
    <w:rsid w:val="00562767"/>
    <w:rsid w:val="00563136"/>
    <w:rsid w:val="00563DCD"/>
    <w:rsid w:val="00564203"/>
    <w:rsid w:val="005646AE"/>
    <w:rsid w:val="005648FB"/>
    <w:rsid w:val="0056557A"/>
    <w:rsid w:val="00565A06"/>
    <w:rsid w:val="00565A27"/>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8DC"/>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26"/>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CC6"/>
    <w:rsid w:val="005E6FBD"/>
    <w:rsid w:val="005E6FFE"/>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489"/>
    <w:rsid w:val="00601878"/>
    <w:rsid w:val="00601A68"/>
    <w:rsid w:val="00601AC8"/>
    <w:rsid w:val="00601C41"/>
    <w:rsid w:val="00602149"/>
    <w:rsid w:val="0060222B"/>
    <w:rsid w:val="00602C61"/>
    <w:rsid w:val="00602C72"/>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6FC1"/>
    <w:rsid w:val="0061753B"/>
    <w:rsid w:val="00617B07"/>
    <w:rsid w:val="00617D10"/>
    <w:rsid w:val="0062015F"/>
    <w:rsid w:val="006203A5"/>
    <w:rsid w:val="006204B9"/>
    <w:rsid w:val="00620783"/>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A17"/>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28D"/>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3AC"/>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8B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9C7"/>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DE9"/>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5778"/>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0F9"/>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2DE6"/>
    <w:rsid w:val="008F30A2"/>
    <w:rsid w:val="008F32B7"/>
    <w:rsid w:val="008F335C"/>
    <w:rsid w:val="008F3DE4"/>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29E4"/>
    <w:rsid w:val="009533E0"/>
    <w:rsid w:val="009534A4"/>
    <w:rsid w:val="00953D55"/>
    <w:rsid w:val="00953D75"/>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1B3"/>
    <w:rsid w:val="00960800"/>
    <w:rsid w:val="00960F23"/>
    <w:rsid w:val="00961047"/>
    <w:rsid w:val="0096127A"/>
    <w:rsid w:val="0096135D"/>
    <w:rsid w:val="009614BB"/>
    <w:rsid w:val="00961B1F"/>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650"/>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2BEC"/>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84"/>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17FF9"/>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63D9"/>
    <w:rsid w:val="00A2666B"/>
    <w:rsid w:val="00A2678A"/>
    <w:rsid w:val="00A26C32"/>
    <w:rsid w:val="00A26E67"/>
    <w:rsid w:val="00A274A4"/>
    <w:rsid w:val="00A276A0"/>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696"/>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A99"/>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978CF"/>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636"/>
    <w:rsid w:val="00AA5749"/>
    <w:rsid w:val="00AA5D6F"/>
    <w:rsid w:val="00AA60FD"/>
    <w:rsid w:val="00AA6384"/>
    <w:rsid w:val="00AA64B8"/>
    <w:rsid w:val="00AA6BE2"/>
    <w:rsid w:val="00AA6E6B"/>
    <w:rsid w:val="00AA71A4"/>
    <w:rsid w:val="00AA7235"/>
    <w:rsid w:val="00AA7C10"/>
    <w:rsid w:val="00AA7D77"/>
    <w:rsid w:val="00AA7F1D"/>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DE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7B0"/>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1ECF"/>
    <w:rsid w:val="00B41F63"/>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5E"/>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901"/>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3BC2"/>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C9E"/>
    <w:rsid w:val="00B93E2C"/>
    <w:rsid w:val="00B9402B"/>
    <w:rsid w:val="00B94947"/>
    <w:rsid w:val="00B94EA8"/>
    <w:rsid w:val="00B951E9"/>
    <w:rsid w:val="00B95532"/>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115"/>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980"/>
    <w:rsid w:val="00BE0A3A"/>
    <w:rsid w:val="00BE0BA9"/>
    <w:rsid w:val="00BE0FA3"/>
    <w:rsid w:val="00BE12C0"/>
    <w:rsid w:val="00BE17CE"/>
    <w:rsid w:val="00BE1B4B"/>
    <w:rsid w:val="00BE26BE"/>
    <w:rsid w:val="00BE2BB2"/>
    <w:rsid w:val="00BE3A17"/>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3D0C"/>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952"/>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187"/>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26D0"/>
    <w:rsid w:val="00C4369C"/>
    <w:rsid w:val="00C44178"/>
    <w:rsid w:val="00C44565"/>
    <w:rsid w:val="00C44AF9"/>
    <w:rsid w:val="00C44E9B"/>
    <w:rsid w:val="00C44F49"/>
    <w:rsid w:val="00C453A0"/>
    <w:rsid w:val="00C4563C"/>
    <w:rsid w:val="00C45780"/>
    <w:rsid w:val="00C45EF2"/>
    <w:rsid w:val="00C4601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5B1"/>
    <w:rsid w:val="00C66AD9"/>
    <w:rsid w:val="00C66B53"/>
    <w:rsid w:val="00C66C28"/>
    <w:rsid w:val="00C66C41"/>
    <w:rsid w:val="00C66CC6"/>
    <w:rsid w:val="00C67D33"/>
    <w:rsid w:val="00C70065"/>
    <w:rsid w:val="00C70164"/>
    <w:rsid w:val="00C70456"/>
    <w:rsid w:val="00C70953"/>
    <w:rsid w:val="00C7095B"/>
    <w:rsid w:val="00C70C66"/>
    <w:rsid w:val="00C71558"/>
    <w:rsid w:val="00C71EC7"/>
    <w:rsid w:val="00C72699"/>
    <w:rsid w:val="00C726B9"/>
    <w:rsid w:val="00C72B86"/>
    <w:rsid w:val="00C73098"/>
    <w:rsid w:val="00C7347D"/>
    <w:rsid w:val="00C73583"/>
    <w:rsid w:val="00C73EAB"/>
    <w:rsid w:val="00C743B1"/>
    <w:rsid w:val="00C7502C"/>
    <w:rsid w:val="00C75A6F"/>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1C6"/>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480"/>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2B6"/>
    <w:rsid w:val="00D50A44"/>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70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4CF"/>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B6C"/>
    <w:rsid w:val="00DC6C06"/>
    <w:rsid w:val="00DC7462"/>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748"/>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D"/>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956"/>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423"/>
    <w:rsid w:val="00E4155C"/>
    <w:rsid w:val="00E41856"/>
    <w:rsid w:val="00E41C04"/>
    <w:rsid w:val="00E42821"/>
    <w:rsid w:val="00E4290C"/>
    <w:rsid w:val="00E4294B"/>
    <w:rsid w:val="00E42AC2"/>
    <w:rsid w:val="00E431D4"/>
    <w:rsid w:val="00E4354D"/>
    <w:rsid w:val="00E43732"/>
    <w:rsid w:val="00E43D2C"/>
    <w:rsid w:val="00E44A8E"/>
    <w:rsid w:val="00E44FDD"/>
    <w:rsid w:val="00E452A8"/>
    <w:rsid w:val="00E45D43"/>
    <w:rsid w:val="00E464E7"/>
    <w:rsid w:val="00E46A1A"/>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51"/>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243"/>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84D"/>
    <w:rsid w:val="00F04E71"/>
    <w:rsid w:val="00F0513D"/>
    <w:rsid w:val="00F05344"/>
    <w:rsid w:val="00F055E9"/>
    <w:rsid w:val="00F056BF"/>
    <w:rsid w:val="00F05D72"/>
    <w:rsid w:val="00F05F26"/>
    <w:rsid w:val="00F05FF8"/>
    <w:rsid w:val="00F061E9"/>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4DD5"/>
    <w:rsid w:val="00F1507D"/>
    <w:rsid w:val="00F155C3"/>
    <w:rsid w:val="00F15F07"/>
    <w:rsid w:val="00F15F56"/>
    <w:rsid w:val="00F161D2"/>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6B7"/>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0ACD"/>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8A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9EC"/>
    <w:rsid w:val="00FB1F6A"/>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5800005">
      <w:bodyDiv w:val="1"/>
      <w:marLeft w:val="0"/>
      <w:marRight w:val="0"/>
      <w:marTop w:val="0"/>
      <w:marBottom w:val="0"/>
      <w:divBdr>
        <w:top w:val="none" w:sz="0" w:space="0" w:color="auto"/>
        <w:left w:val="none" w:sz="0" w:space="0" w:color="auto"/>
        <w:bottom w:val="none" w:sz="0" w:space="0" w:color="auto"/>
        <w:right w:val="none" w:sz="0" w:space="0" w:color="auto"/>
      </w:divBdr>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708</Words>
  <Characters>4038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SungHoon Jung/6G Radio Standard Task</cp:lastModifiedBy>
  <cp:revision>70</cp:revision>
  <cp:lastPrinted>2013-04-04T11:22:00Z</cp:lastPrinted>
  <dcterms:created xsi:type="dcterms:W3CDTF">2025-11-30T23:56:00Z</dcterms:created>
  <dcterms:modified xsi:type="dcterms:W3CDTF">2025-12-01T07:55:00Z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